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5203" w:rsidRDefault="00E90D5E">
      <w:pPr>
        <w:tabs>
          <w:tab w:val="center" w:pos="4252"/>
          <w:tab w:val="right" w:pos="8504"/>
        </w:tabs>
        <w:ind w:right="-195"/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ESTRATÉGIA DE AUDITORIA</w:t>
      </w:r>
    </w:p>
    <w:p w:rsidR="00135203" w:rsidRDefault="00135203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b"/>
        <w:tblW w:w="13574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1204"/>
      </w:tblGrid>
      <w:tr w:rsidR="00135203">
        <w:tc>
          <w:tcPr>
            <w:tcW w:w="2370" w:type="dxa"/>
            <w:shd w:val="clear" w:color="auto" w:fill="CCCCCC"/>
          </w:tcPr>
          <w:p w:rsidR="00135203" w:rsidRDefault="00E90D5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204" w:type="dxa"/>
            <w:shd w:val="clear" w:color="auto" w:fill="auto"/>
          </w:tcPr>
          <w:p w:rsidR="00135203" w:rsidRDefault="0013520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rPr>
          <w:trHeight w:val="232"/>
        </w:trPr>
        <w:tc>
          <w:tcPr>
            <w:tcW w:w="2370" w:type="dxa"/>
            <w:shd w:val="clear" w:color="auto" w:fill="CCCCCC"/>
          </w:tcPr>
          <w:p w:rsidR="00135203" w:rsidRDefault="00E90D5E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204" w:type="dxa"/>
            <w:shd w:val="clear" w:color="auto" w:fill="auto"/>
          </w:tcPr>
          <w:p w:rsidR="00135203" w:rsidRDefault="00135203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35203" w:rsidRDefault="00135203">
      <w:pPr>
        <w:tabs>
          <w:tab w:val="center" w:pos="4252"/>
          <w:tab w:val="right" w:pos="8504"/>
        </w:tabs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c"/>
        <w:tblW w:w="1368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60"/>
        <w:gridCol w:w="3330"/>
        <w:gridCol w:w="6375"/>
        <w:gridCol w:w="3315"/>
      </w:tblGrid>
      <w:tr w:rsidR="00135203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Nº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</w:tr>
      <w:tr w:rsidR="00135203">
        <w:trPr>
          <w:tblHeader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135203" w:rsidRDefault="00135203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Elementos da Estratégia de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EAD3"/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Comentário</w:t>
            </w: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Características da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(descrição introdutória da auditoria e informações contextuais, considerando as atribuições e competências do Tribunal e seu planejamento estratégico, 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Objetivo da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(determinar o que se pretende responder por meio da auditoria, assegurando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assertividade  na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formulação dos objetivos e identificação dos critérios. O objetivo da auditoria deve ser alcançável e deve identificar o objeto, a entidade ou as atividades da aud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itoria)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Objeto, escopo e critérios de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(definir o escopo do objeto de forma a garantir cobertura suficiente para conduzir uma auditoria significativa e agregar valor para os usuários previstos. O objeto deve ser identificável e avaliável em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lação a critérios de auditoria adequados. Por natureza, o objeto deve permitir que o auditor forme uma conclusão com o nível exigido de asseguração. Já o escopo da auditoria refere-se à área, extensão e período cobertos na auditoria do objeto, envolve a re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dução do objeto da auditoria a um número relativamente menor de questões relevantes que estejam relacionadas ao objetivo da auditoria e que possam ser auditadas com os recursos à disposição da equipe de auditoria. Numa auditoria de conformidade temática ou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que envolva diversas entidades, o escopo inclui a identificação das entidades que farão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parte da auditoria. A declaração de escopo deve oferecer clareza sobre todas as áreas relacionadas, mas não incluídas na auditoria. Quanto aos critérios, nas auditoria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 com relatório direto, o auditor deve se certificar da existência de critérios de auditoria correspondentes, sendo que objetos e os critérios de auditoria relevantes podem já estar definidos pela legislação. Em trabalhos de certificação, os critérios de 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uditoria são fornecidos implicitamente por meio da apresentação de informações sobre o objeto (elaboradas com base nos próprios critérios). Nesse caso, o auditor precisa apresentar sua conclusão sobre a correção dos critérios implícitos nas informações sob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 o objeto.)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Entidades abrangidas pela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o tema ou entidade a que o objeto se refere, sendo que pode incluir várias entidades. Deve garantir que todas as entidades relacionadas ao objeto sejam cobertas adequadamente e permitam a for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mação da conclusão de auditoria)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Tipo de trabalho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(especificar se é um trabalho de certificação ou de relatório direto)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Nível de asseguração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(especificar o nível de asseguração: se razoável ou limitada. Na maioria dos casos uma auditoria de conformidade é de asseguração razoável - ver pág. 32 e 33 do </w:t>
            </w:r>
            <w:hyperlink r:id="rId8"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b/>
                  <w:color w:val="FF0000"/>
                  <w:sz w:val="20"/>
                  <w:szCs w:val="20"/>
                  <w:u w:val="single"/>
                </w:rPr>
                <w:t xml:space="preserve"> de Auditoria de Conformidade</w:t>
              </w:r>
            </w:hyperlink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Composição da equipe de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(listar os membros da equipe compondo as competências necessárias e, se houver necessidade, especificar de membros </w:t>
            </w:r>
            <w:proofErr w:type="gram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externos  também</w:t>
            </w:r>
            <w:proofErr w:type="gram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Mecanismos de controle de qualidade da auditoria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(descrição das etapas e mecanismos de controle de qualidade, considera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ndo o que foi estabelecido da RN Nº 13/2023, que institui o Sistema de Qualidade das Fiscalizações –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SiQ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Comunicação com o auditado e os responsáveis pela governança 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como e quando a equipe se comunicará com a parte auditada e com os respon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sáveis pela governança ao longo do processo de auditoria)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Responsabilidades do relatório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(descrever para quem e quando o relatório será elaborado e de que forma a equipe deverá fazer isso)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135203">
        <w:trPr>
          <w:trHeight w:val="457"/>
        </w:trPr>
        <w:tc>
          <w:tcPr>
            <w:tcW w:w="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Outros assuntos significativos, se houver</w:t>
            </w:r>
          </w:p>
        </w:tc>
        <w:tc>
          <w:tcPr>
            <w:tcW w:w="6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(para documentar a estratégia de auditoria a equipe pode modificar este papel de trabalho considerando o contexto específico da auditoria, o objeto, a complexidade e os critérios.)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135203" w:rsidRDefault="00135203">
      <w:pPr>
        <w:rPr>
          <w:rFonts w:ascii="Arial" w:eastAsia="Arial" w:hAnsi="Arial" w:cs="Arial"/>
          <w:sz w:val="20"/>
          <w:szCs w:val="20"/>
        </w:rPr>
      </w:pPr>
    </w:p>
    <w:tbl>
      <w:tblPr>
        <w:tblStyle w:val="ad"/>
        <w:tblW w:w="1372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11670"/>
      </w:tblGrid>
      <w:tr w:rsidR="00135203">
        <w:tc>
          <w:tcPr>
            <w:tcW w:w="2055" w:type="dxa"/>
            <w:shd w:val="clear" w:color="auto" w:fill="CCCCCC"/>
          </w:tcPr>
          <w:p w:rsidR="00135203" w:rsidRDefault="00E90D5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1670" w:type="dxa"/>
            <w:shd w:val="clear" w:color="auto" w:fill="auto"/>
          </w:tcPr>
          <w:p w:rsidR="00135203" w:rsidRDefault="00135203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135203">
        <w:tc>
          <w:tcPr>
            <w:tcW w:w="13725" w:type="dxa"/>
            <w:gridSpan w:val="2"/>
            <w:shd w:val="clear" w:color="auto" w:fill="auto"/>
          </w:tcPr>
          <w:p w:rsidR="00135203" w:rsidRDefault="00E90D5E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135203" w:rsidRDefault="00E90D5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135203" w:rsidRDefault="00E90D5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135203" w:rsidRDefault="00E90D5E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135203" w:rsidRDefault="00135203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</w:pPr>
    </w:p>
    <w:p w:rsidR="00135203" w:rsidRDefault="00135203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13520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5840" w:h="12240" w:orient="landscape"/>
          <w:pgMar w:top="1133" w:right="1133" w:bottom="1133" w:left="1133" w:header="709" w:footer="709" w:gutter="0"/>
          <w:pgNumType w:start="1"/>
          <w:cols w:space="720"/>
        </w:sectPr>
      </w:pPr>
    </w:p>
    <w:p w:rsidR="00135203" w:rsidRDefault="00E90D5E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Estratégia de Auditoria</w:t>
      </w:r>
    </w:p>
    <w:p w:rsidR="00135203" w:rsidRDefault="00135203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e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135203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objetivo deste papel de trabalho é elaborar uma estratégia geral de auditoria detalhando os elementos necessários, permitindo compreender como cada item terá impacto no planejamento e na condução da auditoria e na fase de relatório da auditoria.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135203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Requisito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NBASP 4000/137</w:t>
            </w:r>
          </w:p>
        </w:tc>
      </w:tr>
      <w:tr w:rsidR="00135203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Ver páginas 68 a 71 do </w:t>
            </w:r>
            <w:hyperlink r:id="rId15">
              <w:r>
                <w:rPr>
                  <w:rFonts w:ascii="Arial" w:eastAsia="Arial" w:hAnsi="Arial" w:cs="Arial"/>
                  <w:color w:val="0563C1"/>
                  <w:sz w:val="18"/>
                  <w:szCs w:val="18"/>
                  <w:u w:val="single"/>
                </w:rPr>
                <w:t xml:space="preserve">Manual de Implementação das </w:t>
              </w:r>
              <w:proofErr w:type="spellStart"/>
              <w:r>
                <w:rPr>
                  <w:rFonts w:ascii="Arial" w:eastAsia="Arial" w:hAnsi="Arial" w:cs="Arial"/>
                  <w:color w:val="0563C1"/>
                  <w:sz w:val="18"/>
                  <w:szCs w:val="18"/>
                  <w:u w:val="single"/>
                </w:rPr>
                <w:t>ISSAIs</w:t>
              </w:r>
              <w:proofErr w:type="spellEnd"/>
              <w:r>
                <w:rPr>
                  <w:rFonts w:ascii="Arial" w:eastAsia="Arial" w:hAnsi="Arial" w:cs="Arial"/>
                  <w:color w:val="0563C1"/>
                  <w:sz w:val="18"/>
                  <w:szCs w:val="18"/>
                  <w:u w:val="single"/>
                </w:rPr>
                <w:t xml:space="preserve"> de Auditoria de Conformidade</w:t>
              </w:r>
            </w:hyperlink>
            <w:r>
              <w:rPr>
                <w:rFonts w:ascii="Arial" w:eastAsia="Arial" w:hAnsi="Arial" w:cs="Arial"/>
                <w:sz w:val="18"/>
                <w:szCs w:val="18"/>
              </w:rPr>
              <w:t xml:space="preserve"> para orientações sobre o preenchimento deste papel de trabalho.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tbl>
            <w:tblPr>
              <w:tblStyle w:val="af"/>
              <w:tblW w:w="7350" w:type="dxa"/>
              <w:tblInd w:w="0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ayout w:type="fixed"/>
              <w:tblLook w:val="0600" w:firstRow="0" w:lastRow="0" w:firstColumn="0" w:lastColumn="0" w:noHBand="1" w:noVBand="1"/>
            </w:tblPr>
            <w:tblGrid>
              <w:gridCol w:w="1710"/>
              <w:gridCol w:w="5640"/>
            </w:tblGrid>
            <w:tr w:rsidR="00135203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135203" w:rsidRDefault="00E90D5E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2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</w:tcPr>
                <w:p w:rsidR="00135203" w:rsidRDefault="00E90D5E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Descreva com base nas decisões tomadas sobre cada elemento da estratégia mencionado na coluna 1.</w:t>
                  </w:r>
                </w:p>
              </w:tc>
            </w:tr>
            <w:tr w:rsidR="00135203">
              <w:tc>
                <w:tcPr>
                  <w:tcW w:w="171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135203" w:rsidRDefault="00E90D5E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b/>
                      <w:sz w:val="18"/>
                      <w:szCs w:val="18"/>
                    </w:rPr>
                    <w:t>Coluna 3</w:t>
                  </w:r>
                </w:p>
              </w:tc>
              <w:tc>
                <w:tcPr>
                  <w:tcW w:w="5640" w:type="dxa"/>
                  <w:tcBorders>
                    <w:top w:val="single" w:sz="8" w:space="0" w:color="BF9000"/>
                    <w:left w:val="single" w:sz="8" w:space="0" w:color="FFFFFF"/>
                    <w:bottom w:val="single" w:sz="8" w:space="0" w:color="BF9000"/>
                    <w:right w:val="single" w:sz="8" w:space="0" w:color="FFFFFF"/>
                  </w:tcBorders>
                  <w:shd w:val="clear" w:color="auto" w:fill="FFF2CC"/>
                </w:tcPr>
                <w:p w:rsidR="00135203" w:rsidRDefault="00E90D5E">
                  <w:pPr>
                    <w:tabs>
                      <w:tab w:val="center" w:pos="4252"/>
                      <w:tab w:val="right" w:pos="8504"/>
                    </w:tabs>
                    <w:rPr>
                      <w:rFonts w:ascii="Arial" w:eastAsia="Arial" w:hAnsi="Arial" w:cs="Arial"/>
                      <w:sz w:val="18"/>
                      <w:szCs w:val="18"/>
                    </w:rPr>
                  </w:pPr>
                  <w:r>
                    <w:rPr>
                      <w:rFonts w:ascii="Arial" w:eastAsia="Arial" w:hAnsi="Arial" w:cs="Arial"/>
                      <w:sz w:val="18"/>
                      <w:szCs w:val="18"/>
                    </w:rPr>
                    <w:t>Adicionar comentários, se achar que os elementos estratégicos irão ter qualquer impacto no planejamento ou condução das etapas da auditoria</w:t>
                  </w:r>
                </w:p>
              </w:tc>
            </w:tr>
          </w:tbl>
          <w:p w:rsidR="00135203" w:rsidRDefault="0013520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</w:p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estratégia de auditoria deve permitir obter uma visão geral das características, do objeto e dos objetivos de auditoria, os quais são necessários para a compreensão do relatório, fazendo-se as correlações com o ambiente organizacional em que está inserid</w:t>
            </w:r>
            <w:r>
              <w:rPr>
                <w:rFonts w:ascii="Arial" w:eastAsia="Arial" w:hAnsi="Arial" w:cs="Arial"/>
                <w:sz w:val="18"/>
                <w:szCs w:val="18"/>
              </w:rPr>
              <w:t>o (NBASP 100/45). Para isso deve haver especial atenção ao descrever:</w:t>
            </w:r>
          </w:p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 objeto fiscalizado, com as características necessárias à sua compreensão, tais como: relevância, histórico, competência do auditado, beneficiário, aspectos orçamentários financeiros,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quando for o caso;</w:t>
            </w:r>
          </w:p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Legislação aplicável;</w:t>
            </w:r>
          </w:p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Objetivos institucionais do órgão/entidade fiscalizado, quando for o caso;</w:t>
            </w:r>
          </w:p>
          <w:p w:rsidR="00135203" w:rsidRDefault="00E90D5E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- Pontos críticos e deficiências no sistema de controle.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rPr>
                <w:rFonts w:ascii="Arial" w:eastAsia="Arial" w:hAnsi="Arial" w:cs="Arial"/>
                <w:sz w:val="18"/>
                <w:szCs w:val="18"/>
              </w:rPr>
            </w:pPr>
          </w:p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partir do conhecimento construído durante os levantamentos preliminares, ut</w:t>
            </w:r>
            <w:r>
              <w:rPr>
                <w:rFonts w:ascii="Arial" w:eastAsia="Arial" w:hAnsi="Arial" w:cs="Arial"/>
                <w:sz w:val="18"/>
                <w:szCs w:val="18"/>
              </w:rPr>
              <w:t>ilizados para identificação da Visão Geral do objeto fiscalizado, a equipe deverá correlacioná-lo com os objetivos, os critérios e o trabalho a ser feito para coletar evidências, delimitando, portanto, o escopo da fiscalização. Na Auditoria de Conformidade</w:t>
            </w:r>
            <w:r>
              <w:rPr>
                <w:rFonts w:ascii="Arial" w:eastAsia="Arial" w:hAnsi="Arial" w:cs="Arial"/>
                <w:sz w:val="18"/>
                <w:szCs w:val="18"/>
              </w:rPr>
              <w:t>, a Equipe deve:</w:t>
            </w:r>
          </w:p>
          <w:p w:rsidR="00135203" w:rsidRDefault="00E90D5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2" w:name="_heading=h.gjdgxs" w:colFirst="0" w:colLast="0"/>
            <w:bookmarkEnd w:id="2"/>
            <w:r>
              <w:rPr>
                <w:rFonts w:ascii="Arial" w:eastAsia="Arial" w:hAnsi="Arial" w:cs="Arial"/>
                <w:sz w:val="18"/>
                <w:szCs w:val="18"/>
              </w:rPr>
              <w:t xml:space="preserve">definir o tipo de trabalho a ser realizado: se trata de certificação (NBASP 4000/40-42) ou relatório direto (NBASP 4000/37-39); </w:t>
            </w:r>
          </w:p>
          <w:p w:rsidR="00135203" w:rsidRDefault="00E90D5E">
            <w:pPr>
              <w:numPr>
                <w:ilvl w:val="0"/>
                <w:numId w:val="1"/>
              </w:num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bookmarkStart w:id="3" w:name="_heading=h.3znysh7" w:colFirst="0" w:colLast="0"/>
            <w:bookmarkEnd w:id="3"/>
            <w:r>
              <w:rPr>
                <w:rFonts w:ascii="Arial" w:eastAsia="Arial" w:hAnsi="Arial" w:cs="Arial"/>
                <w:sz w:val="18"/>
                <w:szCs w:val="18"/>
              </w:rPr>
              <w:t>estabelecer o nível de asseguração a ser fornecido: razoável (NBASP 4000/33-34; 121) ou limitada (NBASP 4000/3</w:t>
            </w:r>
            <w:r>
              <w:rPr>
                <w:rFonts w:ascii="Arial" w:eastAsia="Arial" w:hAnsi="Arial" w:cs="Arial"/>
                <w:sz w:val="18"/>
                <w:szCs w:val="18"/>
              </w:rPr>
              <w:t>5-36; 121).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ind w:left="720"/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O fornecimento de asseguração razoável requer um trabalho de auditoria mais extenso. A auditoria com asseguração razoável requer que o auditor tenha acesso aos sistemas e processos usados no objeto (por exemplo, controles internos da entidade)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 e, portanto, demandam mais informações que uma auditoria com asseguração limitada, que se concentra numa área mais restrita. Logo, eventuais limitações de acesso a certos dados provavelmente resultariam em auditorias com asseguração limitada.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</w:p>
          <w:p w:rsidR="00135203" w:rsidRDefault="00E90D5E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 Equipe de</w:t>
            </w:r>
            <w:r>
              <w:rPr>
                <w:rFonts w:ascii="Arial" w:eastAsia="Arial" w:hAnsi="Arial" w:cs="Arial"/>
                <w:sz w:val="18"/>
                <w:szCs w:val="18"/>
              </w:rPr>
              <w:t>ve estabelecer a forma de comunicação com o auditado e/ou os responsáveis pela governança (pontos focais), bem como as responsabilidades para execução dessa tarefa, as datas previstas e os meios válidos e/ou oficiais.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jc w:val="both"/>
              <w:rPr>
                <w:rFonts w:ascii="Arial" w:eastAsia="Arial" w:hAnsi="Arial" w:cs="Arial"/>
                <w:color w:val="FF0000"/>
                <w:sz w:val="18"/>
                <w:szCs w:val="18"/>
              </w:rPr>
            </w:pPr>
          </w:p>
        </w:tc>
      </w:tr>
      <w:tr w:rsidR="00135203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O coordenador e o supervisor da equipe de auditoria precisam verificar se foram consideradas de maneira adequada todas as áreas significativas que possam afetar a auditoria, permitindo que a estratégia seja implementada de forma apropriada para lidar com </w:t>
            </w: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o</w:t>
            </w:r>
            <w:r>
              <w:rPr>
                <w:rFonts w:ascii="Arial" w:eastAsia="Arial" w:hAnsi="Arial" w:cs="Arial"/>
                <w:sz w:val="18"/>
                <w:szCs w:val="18"/>
              </w:rPr>
              <w:t>s assuntos que provavelmente influenciarão o planejamento e a execução da auditoria. A estratégia de auditoria deve ser atualizada continuamente.</w:t>
            </w:r>
          </w:p>
        </w:tc>
      </w:tr>
      <w:tr w:rsidR="00135203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lastRenderedPageBreak/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35203" w:rsidRDefault="00E90D5E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A tabela indicando o nome das pessoas que elaboraram e documentaram a estratégia, bem como seu(s) revisor(es) deverão ser preenchidas ao final. </w:t>
            </w:r>
          </w:p>
          <w:p w:rsidR="00135203" w:rsidRDefault="00135203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:rsidR="00135203" w:rsidRDefault="00135203">
      <w:pPr>
        <w:rPr>
          <w:rFonts w:ascii="Arial" w:eastAsia="Arial" w:hAnsi="Arial" w:cs="Arial"/>
          <w:b/>
          <w:sz w:val="22"/>
          <w:szCs w:val="22"/>
        </w:rPr>
      </w:pPr>
    </w:p>
    <w:sectPr w:rsidR="00135203">
      <w:pgSz w:w="12240" w:h="15840"/>
      <w:pgMar w:top="1700" w:right="1133" w:bottom="1133" w:left="1700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E90D5E">
      <w:r>
        <w:separator/>
      </w:r>
    </w:p>
  </w:endnote>
  <w:endnote w:type="continuationSeparator" w:id="0">
    <w:p w:rsidR="00000000" w:rsidRDefault="00E90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203" w:rsidRDefault="001352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203" w:rsidRDefault="00E90D5E">
    <w:pPr>
      <w:widowControl/>
      <w:pBdr>
        <w:top w:val="single" w:sz="4" w:space="1" w:color="BFBFBF"/>
      </w:pBdr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16"/>
        <w:szCs w:val="16"/>
      </w:rPr>
    </w:pPr>
    <w:r>
      <w:rPr>
        <w:rFonts w:ascii="Arial" w:eastAsia="Arial" w:hAnsi="Arial" w:cs="Arial"/>
        <w:b/>
        <w:sz w:val="16"/>
        <w:szCs w:val="16"/>
      </w:rPr>
      <w:t xml:space="preserve">Av. Ubirajara </w:t>
    </w:r>
    <w:proofErr w:type="spellStart"/>
    <w:r>
      <w:rPr>
        <w:rFonts w:ascii="Arial" w:eastAsia="Arial" w:hAnsi="Arial" w:cs="Arial"/>
        <w:b/>
        <w:sz w:val="16"/>
        <w:szCs w:val="16"/>
      </w:rPr>
      <w:t>Berocan</w:t>
    </w:r>
    <w:proofErr w:type="spellEnd"/>
    <w:r>
      <w:rPr>
        <w:rFonts w:ascii="Arial" w:eastAsia="Arial" w:hAnsi="Arial" w:cs="Arial"/>
        <w:b/>
        <w:sz w:val="16"/>
        <w:szCs w:val="16"/>
      </w:rPr>
      <w:t xml:space="preserve"> Leite, nº 640 Setor Jaó – Goiânia - Goiás – CEP: 74.674-015                                Pág. 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PAGE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  <w:r>
      <w:rPr>
        <w:rFonts w:ascii="Arial" w:eastAsia="Arial" w:hAnsi="Arial" w:cs="Arial"/>
        <w:b/>
        <w:sz w:val="16"/>
        <w:szCs w:val="16"/>
      </w:rPr>
      <w:t>/</w:t>
    </w:r>
    <w:r>
      <w:rPr>
        <w:rFonts w:ascii="Arial" w:eastAsia="Arial" w:hAnsi="Arial" w:cs="Arial"/>
        <w:b/>
        <w:sz w:val="16"/>
        <w:szCs w:val="16"/>
      </w:rPr>
      <w:fldChar w:fldCharType="begin"/>
    </w:r>
    <w:r>
      <w:rPr>
        <w:rFonts w:ascii="Arial" w:eastAsia="Arial" w:hAnsi="Arial" w:cs="Arial"/>
        <w:b/>
        <w:sz w:val="16"/>
        <w:szCs w:val="16"/>
      </w:rPr>
      <w:instrText>NUMPAGES</w:instrText>
    </w:r>
    <w:r>
      <w:rPr>
        <w:rFonts w:ascii="Arial" w:eastAsia="Arial" w:hAnsi="Arial" w:cs="Arial"/>
        <w:b/>
        <w:sz w:val="16"/>
        <w:szCs w:val="16"/>
      </w:rPr>
      <w:fldChar w:fldCharType="separate"/>
    </w:r>
    <w:r>
      <w:rPr>
        <w:rFonts w:ascii="Arial" w:eastAsia="Arial" w:hAnsi="Arial" w:cs="Arial"/>
        <w:b/>
        <w:noProof/>
        <w:sz w:val="16"/>
        <w:szCs w:val="16"/>
      </w:rPr>
      <w:t>1</w:t>
    </w:r>
    <w:r>
      <w:rPr>
        <w:rFonts w:ascii="Arial" w:eastAsia="Arial" w:hAnsi="Arial" w:cs="Arial"/>
        <w:b/>
        <w:sz w:val="16"/>
        <w:szCs w:val="16"/>
      </w:rPr>
      <w:fldChar w:fldCharType="end"/>
    </w:r>
  </w:p>
  <w:p w:rsidR="00135203" w:rsidRDefault="00E90D5E">
    <w:pPr>
      <w:widowControl/>
      <w:tabs>
        <w:tab w:val="center" w:pos="4419"/>
        <w:tab w:val="right" w:pos="8838"/>
      </w:tabs>
      <w:jc w:val="center"/>
      <w:rPr>
        <w:rFonts w:ascii="Arial" w:eastAsia="Arial" w:hAnsi="Arial" w:cs="Arial"/>
        <w:b/>
        <w:sz w:val="22"/>
        <w:szCs w:val="22"/>
      </w:rPr>
    </w:pPr>
    <w:r>
      <w:rPr>
        <w:rFonts w:ascii="Arial" w:eastAsia="Arial" w:hAnsi="Arial" w:cs="Arial"/>
        <w:b/>
        <w:sz w:val="16"/>
        <w:szCs w:val="16"/>
      </w:rPr>
      <w:t>Telefone/PABX: (62) 3228-2000 – www.tce.go.gov.br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203" w:rsidRDefault="001352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E90D5E">
      <w:r>
        <w:separator/>
      </w:r>
    </w:p>
  </w:footnote>
  <w:footnote w:type="continuationSeparator" w:id="0">
    <w:p w:rsidR="00000000" w:rsidRDefault="00E90D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203" w:rsidRDefault="001352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203" w:rsidRDefault="00135203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f0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135203">
      <w:trPr>
        <w:trHeight w:val="1418"/>
        <w:jc w:val="center"/>
      </w:trPr>
      <w:tc>
        <w:tcPr>
          <w:tcW w:w="3000" w:type="dxa"/>
          <w:vAlign w:val="center"/>
        </w:tcPr>
        <w:p w:rsidR="00135203" w:rsidRDefault="00135203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</w:p>
      </w:tc>
      <w:tc>
        <w:tcPr>
          <w:tcW w:w="9660" w:type="dxa"/>
          <w:vAlign w:val="center"/>
        </w:tcPr>
        <w:p w:rsidR="00135203" w:rsidRDefault="00E90D5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-1567180</wp:posOffset>
                </wp:positionH>
                <wp:positionV relativeFrom="paragraph">
                  <wp:posOffset>-5080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135203" w:rsidRDefault="00E90D5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135203" w:rsidRDefault="00E90D5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135203" w:rsidRDefault="00E90D5E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135203" w:rsidRDefault="00135203">
    <w:pPr>
      <w:widowControl/>
      <w:tabs>
        <w:tab w:val="center" w:pos="4252"/>
        <w:tab w:val="right" w:pos="8504"/>
      </w:tabs>
      <w:rPr>
        <w:rFonts w:ascii="Arial" w:eastAsia="Arial" w:hAnsi="Arial" w:cs="Arial"/>
        <w:b/>
        <w:sz w:val="22"/>
        <w:szCs w:val="22"/>
      </w:rPr>
    </w:pPr>
  </w:p>
  <w:p w:rsidR="00135203" w:rsidRDefault="00135203">
    <w:pPr>
      <w:tabs>
        <w:tab w:val="center" w:pos="4702"/>
        <w:tab w:val="right" w:pos="9405"/>
      </w:tabs>
      <w:rPr>
        <w:rFonts w:ascii="Arial" w:eastAsia="Arial" w:hAnsi="Arial" w:cs="Arial"/>
        <w:b/>
        <w:sz w:val="22"/>
        <w:szCs w:val="22"/>
      </w:rPr>
    </w:pPr>
    <w:bookmarkStart w:id="1" w:name="_heading=h.1fob9te" w:colFirst="0" w:colLast="0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5203" w:rsidRDefault="0013520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7333D98"/>
    <w:multiLevelType w:val="multilevel"/>
    <w:tmpl w:val="44FA9BCC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203"/>
    <w:rsid w:val="00135203"/>
    <w:rsid w:val="00E90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ind w:left="720" w:hanging="360"/>
      <w:jc w:val="center"/>
      <w:outlineLvl w:val="0"/>
    </w:pPr>
    <w:rPr>
      <w:b/>
      <w:sz w:val="36"/>
      <w:szCs w:val="36"/>
    </w:rPr>
  </w:style>
  <w:style w:type="paragraph" w:styleId="Ttulo2">
    <w:name w:val="heading 2"/>
    <w:basedOn w:val="Normal"/>
    <w:next w:val="Normal"/>
    <w:pPr>
      <w:keepNext/>
      <w:ind w:left="1440" w:hanging="360"/>
      <w:jc w:val="center"/>
      <w:outlineLvl w:val="1"/>
    </w:pPr>
    <w:rPr>
      <w:b/>
      <w:sz w:val="20"/>
      <w:szCs w:val="20"/>
    </w:rPr>
  </w:style>
  <w:style w:type="paragraph" w:styleId="Ttulo3">
    <w:name w:val="heading 3"/>
    <w:basedOn w:val="Normal"/>
    <w:next w:val="Normal"/>
    <w:pPr>
      <w:keepNext/>
      <w:ind w:left="2160" w:hanging="180"/>
      <w:jc w:val="center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A4D34"/>
  </w:style>
  <w:style w:type="paragraph" w:styleId="Rodap">
    <w:name w:val="footer"/>
    <w:basedOn w:val="Normal"/>
    <w:link w:val="RodapChar"/>
    <w:uiPriority w:val="99"/>
    <w:unhideWhenUsed/>
    <w:rsid w:val="000A4D3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A4D34"/>
  </w:style>
  <w:style w:type="table" w:styleId="Tabelacomgrade">
    <w:name w:val="Table Grid"/>
    <w:basedOn w:val="Tabelanormal"/>
    <w:uiPriority w:val="39"/>
    <w:rsid w:val="000A4D34"/>
    <w:pPr>
      <w:widowControl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5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1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482EDE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EDE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EDE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EDE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EDE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82EDE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82EDE"/>
    <w:rPr>
      <w:rFonts w:ascii="Segoe UI" w:hAnsi="Segoe UI" w:cs="Segoe UI"/>
      <w:sz w:val="18"/>
      <w:szCs w:val="18"/>
    </w:rPr>
  </w:style>
  <w:style w:type="table" w:customStyle="1" w:styleId="ab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d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">
    <w:basedOn w:val="TableNormal0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f0">
    <w:basedOn w:val="TableNormal0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rbcontas.org.br/wp-content/uploads/2023/11/Manual-de-Implementacao-das-ISSAIs-Auditoria-Conformidade.pdf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irbcontas.org.br/wp-content/uploads/2023/11/Manual-de-Implementacao-das-ISSAIs-Auditoria-Conformidade.pdf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XpZXyyn5PckLIS5FzGtnLM+hVgw==">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1166</Words>
  <Characters>6299</Characters>
  <Application>Microsoft Office Word</Application>
  <DocSecurity>0</DocSecurity>
  <Lines>52</Lines>
  <Paragraphs>14</Paragraphs>
  <ScaleCrop>false</ScaleCrop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2023-11-27T18:45:00Z</dcterms:created>
  <dcterms:modified xsi:type="dcterms:W3CDTF">2025-07-30T13:17:00Z</dcterms:modified>
</cp:coreProperties>
</file>